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0232" w14:textId="77777777" w:rsidR="00BC6D08" w:rsidRDefault="00B946CA" w:rsidP="001735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BUILDING </w:t>
      </w:r>
      <w:r w:rsidRPr="00B946CA">
        <w:rPr>
          <w:b/>
          <w:bCs/>
          <w:sz w:val="28"/>
          <w:szCs w:val="28"/>
        </w:rPr>
        <w:t>PAINTING SCHEDULE – GREENS OF SCHERWOOD</w:t>
      </w:r>
    </w:p>
    <w:p w14:paraId="6ABAF467" w14:textId="77777777" w:rsidR="00BC6D08" w:rsidRDefault="00BC6D08" w:rsidP="00BC6D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Board has updated the painting schedule out to the year 2045 representing a rotating cycle for all 20 buildings.  Buildings are represented by the lowest numbered unit.  </w:t>
      </w:r>
    </w:p>
    <w:p w14:paraId="2E2725DD" w14:textId="77777777" w:rsidR="00BC6D08" w:rsidRDefault="00BC6D08" w:rsidP="00BC6D08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Example:  1508 Doral represents 1508-1510-1512-and 1514 Doral Drive</w:t>
      </w:r>
    </w:p>
    <w:p w14:paraId="429D419B" w14:textId="0D63503F" w:rsidR="00B946CA" w:rsidRPr="00BC6D08" w:rsidRDefault="00BC6D08" w:rsidP="00BC6D08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The Future painting schedule is based on incomplete painting data collected from several sources.  To even the burden on annual association expenses, we will never paint more than three (3) </w:t>
      </w:r>
      <w:r w:rsidRPr="0017357E">
        <w:rPr>
          <w:b/>
          <w:bCs/>
          <w:sz w:val="24"/>
          <w:szCs w:val="24"/>
        </w:rPr>
        <w:t>buildings a year.  The rotation for painting occurs every seven (7) years.</w:t>
      </w:r>
      <w:r w:rsidR="00B946CA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946CA" w14:paraId="33B407B8" w14:textId="77777777" w:rsidTr="00B946CA">
        <w:tc>
          <w:tcPr>
            <w:tcW w:w="2245" w:type="dxa"/>
          </w:tcPr>
          <w:p w14:paraId="7B28C4AA" w14:textId="16EE08E3" w:rsidR="00B946CA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7105" w:type="dxa"/>
          </w:tcPr>
          <w:p w14:paraId="660D9FB0" w14:textId="360A4B97" w:rsidR="00B946CA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Units </w:t>
            </w:r>
            <w:r w:rsidRPr="00BC6D08">
              <w:rPr>
                <w:b/>
                <w:bCs/>
                <w:color w:val="156082" w:themeColor="accent1"/>
                <w:sz w:val="28"/>
                <w:szCs w:val="28"/>
              </w:rPr>
              <w:t>(starting with end unit)</w:t>
            </w:r>
          </w:p>
        </w:tc>
      </w:tr>
      <w:tr w:rsidR="00B946CA" w14:paraId="45C3384C" w14:textId="77777777" w:rsidTr="00B946CA">
        <w:tc>
          <w:tcPr>
            <w:tcW w:w="2245" w:type="dxa"/>
          </w:tcPr>
          <w:p w14:paraId="4ACE960C" w14:textId="68169D58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7105" w:type="dxa"/>
          </w:tcPr>
          <w:p w14:paraId="725F1C07" w14:textId="23FB1604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508 Pinehurst/515 Pinehurst/528 Pinehurst</w:t>
            </w:r>
          </w:p>
        </w:tc>
      </w:tr>
      <w:tr w:rsidR="00B946CA" w14:paraId="4B3C1801" w14:textId="77777777" w:rsidTr="00B946CA">
        <w:tc>
          <w:tcPr>
            <w:tcW w:w="2245" w:type="dxa"/>
          </w:tcPr>
          <w:p w14:paraId="6D5389E8" w14:textId="78C3E463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7105" w:type="dxa"/>
          </w:tcPr>
          <w:p w14:paraId="38DE825E" w14:textId="602DBB3F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500 Pinehurst/</w:t>
            </w:r>
            <w:r w:rsidR="00CC53D9" w:rsidRPr="00CC53D9">
              <w:rPr>
                <w:b/>
                <w:bCs/>
                <w:sz w:val="28"/>
                <w:szCs w:val="28"/>
              </w:rPr>
              <w:t>521 Pinehurst/1515 Tamarack</w:t>
            </w:r>
          </w:p>
        </w:tc>
      </w:tr>
      <w:tr w:rsidR="00B946CA" w14:paraId="2F2384E1" w14:textId="77777777" w:rsidTr="00B946CA">
        <w:tc>
          <w:tcPr>
            <w:tcW w:w="2245" w:type="dxa"/>
          </w:tcPr>
          <w:p w14:paraId="5B71BF9E" w14:textId="71A962B7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7105" w:type="dxa"/>
          </w:tcPr>
          <w:p w14:paraId="35D107C3" w14:textId="6F25BE5E" w:rsidR="00B946CA" w:rsidRPr="00CC53D9" w:rsidRDefault="00CC53D9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506 Doral/1516 Doral/529 Pinehurst</w:t>
            </w:r>
          </w:p>
        </w:tc>
      </w:tr>
      <w:tr w:rsidR="00B946CA" w14:paraId="6FCD8CE2" w14:textId="77777777" w:rsidTr="00B946CA">
        <w:tc>
          <w:tcPr>
            <w:tcW w:w="2245" w:type="dxa"/>
          </w:tcPr>
          <w:p w14:paraId="00AD78B2" w14:textId="459BBC76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7105" w:type="dxa"/>
          </w:tcPr>
          <w:p w14:paraId="19FBE6AF" w14:textId="6578569D" w:rsidR="00CC53D9" w:rsidRPr="00CC53D9" w:rsidRDefault="00CC53D9" w:rsidP="00CC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1508 Doral/500 Doral/509 Doral</w:t>
            </w:r>
          </w:p>
        </w:tc>
      </w:tr>
      <w:tr w:rsidR="00B946CA" w14:paraId="45364944" w14:textId="77777777" w:rsidTr="00B946CA">
        <w:tc>
          <w:tcPr>
            <w:tcW w:w="2245" w:type="dxa"/>
          </w:tcPr>
          <w:p w14:paraId="3BA2A01E" w14:textId="0BE94807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7105" w:type="dxa"/>
          </w:tcPr>
          <w:p w14:paraId="68E5713E" w14:textId="59E74304" w:rsidR="00B946CA" w:rsidRPr="00CC53D9" w:rsidRDefault="00CC53D9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1500 Doral/1509 Tamarack</w:t>
            </w:r>
          </w:p>
        </w:tc>
      </w:tr>
      <w:tr w:rsidR="00B946CA" w14:paraId="2E8BCB1A" w14:textId="77777777" w:rsidTr="00B946CA">
        <w:tc>
          <w:tcPr>
            <w:tcW w:w="2245" w:type="dxa"/>
          </w:tcPr>
          <w:p w14:paraId="4EA58534" w14:textId="659881C9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7105" w:type="dxa"/>
          </w:tcPr>
          <w:p w14:paraId="3EF3EB04" w14:textId="1A05E4F7" w:rsidR="00B946CA" w:rsidRPr="00CC53D9" w:rsidRDefault="00CC53D9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1501 Pinehurst/501 Doral/1521 Tamarack</w:t>
            </w:r>
          </w:p>
        </w:tc>
      </w:tr>
      <w:tr w:rsidR="00B946CA" w14:paraId="1665DB9A" w14:textId="77777777" w:rsidTr="00B946CA">
        <w:tc>
          <w:tcPr>
            <w:tcW w:w="2245" w:type="dxa"/>
          </w:tcPr>
          <w:p w14:paraId="43FB6555" w14:textId="3AF87E8A" w:rsidR="00B946CA" w:rsidRPr="00CC53D9" w:rsidRDefault="00B946CA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2031</w:t>
            </w:r>
          </w:p>
        </w:tc>
        <w:tc>
          <w:tcPr>
            <w:tcW w:w="7105" w:type="dxa"/>
          </w:tcPr>
          <w:p w14:paraId="1E6B5342" w14:textId="66CFCFFC" w:rsidR="00B946CA" w:rsidRPr="00CC53D9" w:rsidRDefault="00CC53D9" w:rsidP="00B94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509 Pinehurst/520 Pinehurst/1510 Tamarack</w:t>
            </w:r>
          </w:p>
        </w:tc>
      </w:tr>
    </w:tbl>
    <w:p w14:paraId="37DA0DA2" w14:textId="77777777" w:rsidR="00B946CA" w:rsidRPr="0017357E" w:rsidRDefault="00B946CA" w:rsidP="00B946CA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CC53D9" w14:paraId="1E45203E" w14:textId="77777777" w:rsidTr="00CD21DA">
        <w:tc>
          <w:tcPr>
            <w:tcW w:w="2245" w:type="dxa"/>
          </w:tcPr>
          <w:p w14:paraId="62E3D100" w14:textId="77777777" w:rsid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7105" w:type="dxa"/>
          </w:tcPr>
          <w:p w14:paraId="58D5D47A" w14:textId="77777777" w:rsid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Units </w:t>
            </w:r>
            <w:r w:rsidRPr="00BC6D08">
              <w:rPr>
                <w:b/>
                <w:bCs/>
                <w:color w:val="156082" w:themeColor="accent1"/>
                <w:sz w:val="28"/>
                <w:szCs w:val="28"/>
              </w:rPr>
              <w:t>(starting with end unit)</w:t>
            </w:r>
          </w:p>
        </w:tc>
      </w:tr>
      <w:tr w:rsidR="00CC53D9" w:rsidRPr="00CC53D9" w14:paraId="4E954262" w14:textId="77777777" w:rsidTr="00CD21DA">
        <w:tc>
          <w:tcPr>
            <w:tcW w:w="2245" w:type="dxa"/>
          </w:tcPr>
          <w:p w14:paraId="5CF2AEC8" w14:textId="508128E0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105" w:type="dxa"/>
          </w:tcPr>
          <w:p w14:paraId="65281AB3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508 Pinehurst/515 Pinehurst/528 Pinehurst</w:t>
            </w:r>
          </w:p>
        </w:tc>
      </w:tr>
      <w:tr w:rsidR="00CC53D9" w:rsidRPr="00CC53D9" w14:paraId="537AC60C" w14:textId="77777777" w:rsidTr="00CD21DA">
        <w:tc>
          <w:tcPr>
            <w:tcW w:w="2245" w:type="dxa"/>
          </w:tcPr>
          <w:p w14:paraId="4F207F05" w14:textId="342A8EEB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105" w:type="dxa"/>
          </w:tcPr>
          <w:p w14:paraId="2CB5BF5B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500 Pinehurst/521 Pinehurst/1515 Tamarack</w:t>
            </w:r>
          </w:p>
        </w:tc>
      </w:tr>
      <w:tr w:rsidR="00CC53D9" w:rsidRPr="00CC53D9" w14:paraId="57393523" w14:textId="77777777" w:rsidTr="00CD21DA">
        <w:tc>
          <w:tcPr>
            <w:tcW w:w="2245" w:type="dxa"/>
          </w:tcPr>
          <w:p w14:paraId="280C98D9" w14:textId="5456CB86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105" w:type="dxa"/>
          </w:tcPr>
          <w:p w14:paraId="0650722F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506 Doral/1516 Doral/529 Pinehurst</w:t>
            </w:r>
          </w:p>
        </w:tc>
      </w:tr>
      <w:tr w:rsidR="00CC53D9" w:rsidRPr="00CC53D9" w14:paraId="6444D06B" w14:textId="77777777" w:rsidTr="00CD21DA">
        <w:tc>
          <w:tcPr>
            <w:tcW w:w="2245" w:type="dxa"/>
          </w:tcPr>
          <w:p w14:paraId="48B8652B" w14:textId="3DF6BC6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105" w:type="dxa"/>
          </w:tcPr>
          <w:p w14:paraId="650DFA36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1508 Doral/500 Doral/509 Doral</w:t>
            </w:r>
          </w:p>
        </w:tc>
      </w:tr>
      <w:tr w:rsidR="00CC53D9" w:rsidRPr="00CC53D9" w14:paraId="5439A7F7" w14:textId="77777777" w:rsidTr="00CD21DA">
        <w:tc>
          <w:tcPr>
            <w:tcW w:w="2245" w:type="dxa"/>
          </w:tcPr>
          <w:p w14:paraId="3EFC7ACE" w14:textId="5816901E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105" w:type="dxa"/>
          </w:tcPr>
          <w:p w14:paraId="76FFF3D2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1500 Doral/1509 Tamarack</w:t>
            </w:r>
          </w:p>
        </w:tc>
      </w:tr>
      <w:tr w:rsidR="00CC53D9" w:rsidRPr="00CC53D9" w14:paraId="386E7349" w14:textId="77777777" w:rsidTr="00CD21DA">
        <w:tc>
          <w:tcPr>
            <w:tcW w:w="2245" w:type="dxa"/>
          </w:tcPr>
          <w:p w14:paraId="42ED7F21" w14:textId="676BEF7C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105" w:type="dxa"/>
          </w:tcPr>
          <w:p w14:paraId="2C32EB02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1501 Pinehurst/501 Doral/1521 Tamarack</w:t>
            </w:r>
          </w:p>
        </w:tc>
      </w:tr>
      <w:tr w:rsidR="00CC53D9" w:rsidRPr="00CC53D9" w14:paraId="0675ADF6" w14:textId="77777777" w:rsidTr="00CD21DA">
        <w:tc>
          <w:tcPr>
            <w:tcW w:w="2245" w:type="dxa"/>
          </w:tcPr>
          <w:p w14:paraId="00497CE8" w14:textId="04CABB08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105" w:type="dxa"/>
          </w:tcPr>
          <w:p w14:paraId="1E498B67" w14:textId="77777777" w:rsidR="00CC53D9" w:rsidRPr="00CC53D9" w:rsidRDefault="00CC53D9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509 Pinehurst/520 Pinehurst/1510 Tamarack</w:t>
            </w:r>
          </w:p>
        </w:tc>
      </w:tr>
    </w:tbl>
    <w:p w14:paraId="52CECEE4" w14:textId="44A2E6CF" w:rsidR="00CC53D9" w:rsidRPr="0017357E" w:rsidRDefault="00CC53D9" w:rsidP="00B946CA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17357E" w14:paraId="3F338BFC" w14:textId="77777777" w:rsidTr="00CD21DA">
        <w:tc>
          <w:tcPr>
            <w:tcW w:w="2245" w:type="dxa"/>
          </w:tcPr>
          <w:p w14:paraId="21415534" w14:textId="77777777" w:rsidR="0017357E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7105" w:type="dxa"/>
          </w:tcPr>
          <w:p w14:paraId="626E5EB1" w14:textId="77777777" w:rsidR="0017357E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Units </w:t>
            </w:r>
            <w:r w:rsidRPr="00BC6D08">
              <w:rPr>
                <w:b/>
                <w:bCs/>
                <w:color w:val="156082" w:themeColor="accent1"/>
                <w:sz w:val="28"/>
                <w:szCs w:val="28"/>
              </w:rPr>
              <w:t>(starting with end unit)</w:t>
            </w:r>
          </w:p>
        </w:tc>
      </w:tr>
      <w:tr w:rsidR="0017357E" w:rsidRPr="00CC53D9" w14:paraId="13E76A1F" w14:textId="77777777" w:rsidTr="00CD21DA">
        <w:tc>
          <w:tcPr>
            <w:tcW w:w="2245" w:type="dxa"/>
          </w:tcPr>
          <w:p w14:paraId="378E1AAA" w14:textId="387D67F2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105" w:type="dxa"/>
          </w:tcPr>
          <w:p w14:paraId="61A1B69C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508 Pinehurst/515 Pinehurst/528 Pinehurst</w:t>
            </w:r>
          </w:p>
        </w:tc>
      </w:tr>
      <w:tr w:rsidR="0017357E" w:rsidRPr="00CC53D9" w14:paraId="15DEEDD0" w14:textId="77777777" w:rsidTr="00CD21DA">
        <w:tc>
          <w:tcPr>
            <w:tcW w:w="2245" w:type="dxa"/>
          </w:tcPr>
          <w:p w14:paraId="2FDEECDF" w14:textId="64C8DF01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105" w:type="dxa"/>
          </w:tcPr>
          <w:p w14:paraId="1631F70A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500 Pinehurst/521 Pinehurst/1515 Tamarack</w:t>
            </w:r>
          </w:p>
        </w:tc>
      </w:tr>
      <w:tr w:rsidR="0017357E" w:rsidRPr="00CC53D9" w14:paraId="71708155" w14:textId="77777777" w:rsidTr="00CD21DA">
        <w:tc>
          <w:tcPr>
            <w:tcW w:w="2245" w:type="dxa"/>
          </w:tcPr>
          <w:p w14:paraId="2455FA5D" w14:textId="1613A15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2041</w:t>
            </w:r>
          </w:p>
        </w:tc>
        <w:tc>
          <w:tcPr>
            <w:tcW w:w="7105" w:type="dxa"/>
          </w:tcPr>
          <w:p w14:paraId="1172854C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506 Doral/1516 Doral/529 Pinehurst</w:t>
            </w:r>
          </w:p>
        </w:tc>
      </w:tr>
      <w:tr w:rsidR="0017357E" w:rsidRPr="00CC53D9" w14:paraId="084AE83D" w14:textId="77777777" w:rsidTr="00CD21DA">
        <w:tc>
          <w:tcPr>
            <w:tcW w:w="2245" w:type="dxa"/>
          </w:tcPr>
          <w:p w14:paraId="041E9A16" w14:textId="37D7B9D1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105" w:type="dxa"/>
          </w:tcPr>
          <w:p w14:paraId="2509E961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1508 Doral/500 Doral/509 Doral</w:t>
            </w:r>
          </w:p>
        </w:tc>
      </w:tr>
      <w:tr w:rsidR="0017357E" w:rsidRPr="00CC53D9" w14:paraId="3CBEDDD1" w14:textId="77777777" w:rsidTr="00CD21DA">
        <w:tc>
          <w:tcPr>
            <w:tcW w:w="2245" w:type="dxa"/>
          </w:tcPr>
          <w:p w14:paraId="3CBC0FE7" w14:textId="2B788244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2043 </w:t>
            </w:r>
          </w:p>
        </w:tc>
        <w:tc>
          <w:tcPr>
            <w:tcW w:w="7105" w:type="dxa"/>
          </w:tcPr>
          <w:p w14:paraId="15BADD0C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1500 Doral/1509 Tamarack</w:t>
            </w:r>
          </w:p>
        </w:tc>
      </w:tr>
      <w:tr w:rsidR="0017357E" w:rsidRPr="00CC53D9" w14:paraId="3EA8108E" w14:textId="77777777" w:rsidTr="00CD21DA">
        <w:tc>
          <w:tcPr>
            <w:tcW w:w="2245" w:type="dxa"/>
          </w:tcPr>
          <w:p w14:paraId="01506735" w14:textId="0C0F80B3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105" w:type="dxa"/>
          </w:tcPr>
          <w:p w14:paraId="04940C49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1501 Pinehurst/501 Doral/1521 Tamarack</w:t>
            </w:r>
          </w:p>
        </w:tc>
      </w:tr>
      <w:tr w:rsidR="0017357E" w:rsidRPr="00CC53D9" w14:paraId="33D7ADF4" w14:textId="77777777" w:rsidTr="00CD21DA">
        <w:tc>
          <w:tcPr>
            <w:tcW w:w="2245" w:type="dxa"/>
          </w:tcPr>
          <w:p w14:paraId="508FFA39" w14:textId="6E309E2C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105" w:type="dxa"/>
          </w:tcPr>
          <w:p w14:paraId="3E7F471B" w14:textId="77777777" w:rsidR="0017357E" w:rsidRPr="00CC53D9" w:rsidRDefault="0017357E" w:rsidP="00CD21D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3D9">
              <w:rPr>
                <w:b/>
                <w:bCs/>
                <w:sz w:val="28"/>
                <w:szCs w:val="28"/>
              </w:rPr>
              <w:t>509 Pinehurst/520 Pinehurst/1510 Tamarack</w:t>
            </w:r>
          </w:p>
        </w:tc>
      </w:tr>
    </w:tbl>
    <w:p w14:paraId="4703CE4C" w14:textId="36B29F1B" w:rsidR="00B946CA" w:rsidRPr="0017357E" w:rsidRDefault="00B946CA">
      <w:pPr>
        <w:rPr>
          <w:sz w:val="16"/>
          <w:szCs w:val="16"/>
        </w:rPr>
      </w:pPr>
    </w:p>
    <w:p w14:paraId="7E0CBDF6" w14:textId="77777777" w:rsidR="0017357E" w:rsidRDefault="0017357E" w:rsidP="0017357E">
      <w:pPr>
        <w:spacing w:after="0" w:line="240" w:lineRule="auto"/>
        <w:rPr>
          <w:b/>
          <w:bCs/>
          <w:sz w:val="24"/>
          <w:szCs w:val="24"/>
        </w:rPr>
      </w:pPr>
    </w:p>
    <w:p w14:paraId="45FBFC56" w14:textId="77777777" w:rsidR="0017357E" w:rsidRDefault="0017357E" w:rsidP="0017357E">
      <w:pPr>
        <w:spacing w:after="0" w:line="240" w:lineRule="auto"/>
        <w:rPr>
          <w:b/>
          <w:bCs/>
          <w:sz w:val="24"/>
          <w:szCs w:val="24"/>
        </w:rPr>
      </w:pPr>
    </w:p>
    <w:p w14:paraId="4303B754" w14:textId="36060219" w:rsidR="0017357E" w:rsidRPr="0017357E" w:rsidRDefault="0017357E" w:rsidP="0017357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Revised – October/2024</w:t>
      </w:r>
    </w:p>
    <w:sectPr w:rsidR="0017357E" w:rsidRPr="0017357E" w:rsidSect="0017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A"/>
    <w:rsid w:val="00133FDB"/>
    <w:rsid w:val="0017357E"/>
    <w:rsid w:val="002632C9"/>
    <w:rsid w:val="003B2F84"/>
    <w:rsid w:val="004715B4"/>
    <w:rsid w:val="007C0249"/>
    <w:rsid w:val="00B946CA"/>
    <w:rsid w:val="00BC6D08"/>
    <w:rsid w:val="00C264CF"/>
    <w:rsid w:val="00CC53D9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7B58"/>
  <w15:chartTrackingRefBased/>
  <w15:docId w15:val="{F84CFEBE-79FC-49F7-8A49-DA9E97E2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6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Hoff</dc:creator>
  <cp:keywords/>
  <dc:description/>
  <cp:lastModifiedBy>Carolin kenneally</cp:lastModifiedBy>
  <cp:revision>2</cp:revision>
  <dcterms:created xsi:type="dcterms:W3CDTF">2024-10-21T17:47:00Z</dcterms:created>
  <dcterms:modified xsi:type="dcterms:W3CDTF">2024-10-21T17:47:00Z</dcterms:modified>
</cp:coreProperties>
</file>